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65086A" w14:textId="29C6A3B6" w:rsidR="4F762519" w:rsidRPr="00712291" w:rsidRDefault="4F762519" w:rsidP="00712291">
      <w:pPr>
        <w:pStyle w:val="1"/>
        <w:jc w:val="center"/>
        <w:rPr>
          <w:color w:val="EE0000"/>
        </w:rPr>
      </w:pPr>
      <w:r w:rsidRPr="4F762519">
        <w:rPr>
          <w:color w:val="EE0000"/>
        </w:rPr>
        <w:t>A</w:t>
      </w:r>
      <w:r w:rsidR="00712291">
        <w:rPr>
          <w:color w:val="EE0000"/>
        </w:rPr>
        <w:t>nnex</w:t>
      </w:r>
      <w:r w:rsidRPr="4F762519">
        <w:rPr>
          <w:color w:val="EE0000"/>
        </w:rPr>
        <w:t xml:space="preserve"> G: Sequence Example for</w:t>
      </w:r>
      <w:r w:rsidR="00712291">
        <w:rPr>
          <w:color w:val="EE0000"/>
        </w:rPr>
        <w:t xml:space="preserve"> </w:t>
      </w:r>
      <w:r w:rsidRPr="4F762519">
        <w:rPr>
          <w:color w:val="EE0000"/>
        </w:rPr>
        <w:t>Layered RoIS Engines</w:t>
      </w:r>
      <w:r w:rsidR="00712291">
        <w:t xml:space="preserve"> </w:t>
      </w:r>
      <w:r w:rsidRPr="4F762519">
        <w:rPr>
          <w:color w:val="EE0000"/>
        </w:rPr>
        <w:t>(informative)</w:t>
      </w:r>
    </w:p>
    <w:p w14:paraId="0E8B5AF3" w14:textId="2150E3B8" w:rsidR="4F762519" w:rsidRDefault="4F762519" w:rsidP="4F762519">
      <w:r>
        <w:t>As shown in Figure 7.4, the RoIS Framework can organize multiple RoIS Engines in a layered configuration. A lower-layer RoIS Engine directly manages several RoIS Components. Such a RoIS Engine is typically provided for each physical robot (e.g., Robot 1 and Robot 2 in Figure 7.4). A RoIS Engine may also be provided to manage a larger target corresponding to a Service Environment (e.g., Robotic Room 1 in Figure 7.4).</w:t>
      </w:r>
    </w:p>
    <w:p w14:paraId="666FFE5A" w14:textId="440458A0" w:rsidR="4F762519" w:rsidRDefault="4F762519" w:rsidP="4F762519">
      <w:r>
        <w:t>To coordinate multiple RoIS Engines, an upper-layer RoIS Engine may be provided. In Figure 7.4, the upper-layer RoIS Engine is described as the Total System, and the lower-layer RoIS Engines are described as Sub Systems. The Service Application communicates only with the RoIS Engine that manages the Total System.</w:t>
      </w:r>
    </w:p>
    <w:p w14:paraId="6BCEA33B" w14:textId="6E9FDAD8" w:rsidR="4F762519" w:rsidRDefault="4F762519" w:rsidP="4F762519">
      <w:r>
        <w:t>As part of the configuration information of a RoIS Engine, the RoIS Engine Profile describes the RoIS Components managed by that RoIS Engine and the information on subordinate RoIS Engines (for the definition, see 8.3.5 RoIS Engine Profile; for an example, see Appendix A.4 RoIS Engine Profile).</w:t>
      </w:r>
    </w:p>
    <w:p w14:paraId="573F71F2" w14:textId="216AEF3C" w:rsidR="4F762519" w:rsidRDefault="4F762519" w:rsidP="4F762519">
      <w:r>
        <w:t>The configuration in Appendix A.4 is shown as an object diagram in Figure G.1. The following example considers a Service Application that communicates with a Service Environment configured in a layered manner under the Main HRI Engine, where two lower-layer RoIS Engines each manage multiple RoIS Components.</w:t>
      </w:r>
    </w:p>
    <w:p w14:paraId="77259929" w14:textId="77777777" w:rsidR="00E54294" w:rsidRDefault="75EC5179" w:rsidP="00E54294">
      <w:pPr>
        <w:keepNext/>
        <w:jc w:val="center"/>
      </w:pPr>
      <w:r>
        <w:rPr>
          <w:noProof/>
        </w:rPr>
        <w:drawing>
          <wp:inline distT="0" distB="0" distL="0" distR="0" wp14:anchorId="2C866F18" wp14:editId="28E0E53F">
            <wp:extent cx="4256314" cy="2342856"/>
            <wp:effectExtent l="0" t="0" r="0" b="0"/>
            <wp:docPr id="4" name="図 3">
              <a:extLst xmlns:a="http://schemas.openxmlformats.org/drawingml/2006/main">
                <a:ext uri="{FF2B5EF4-FFF2-40B4-BE49-F238E27FC236}">
                  <a16:creationId xmlns:a16="http://schemas.microsoft.com/office/drawing/2014/main" id="{9C3B5A77-982F-421A-A776-369A028090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9C3B5A77-982F-421A-A776-369A028090A9}"/>
                        </a:ext>
                      </a:extLst>
                    </pic:cNvPr>
                    <pic:cNvPicPr>
                      <a:picLocks noChangeAspect="1"/>
                    </pic:cNvPicPr>
                  </pic:nvPicPr>
                  <pic:blipFill>
                    <a:blip r:embed="rId6"/>
                    <a:stretch>
                      <a:fillRect/>
                    </a:stretch>
                  </pic:blipFill>
                  <pic:spPr>
                    <a:xfrm>
                      <a:off x="0" y="0"/>
                      <a:ext cx="4265813" cy="2348085"/>
                    </a:xfrm>
                    <a:prstGeom prst="rect">
                      <a:avLst/>
                    </a:prstGeom>
                  </pic:spPr>
                </pic:pic>
              </a:graphicData>
            </a:graphic>
          </wp:inline>
        </w:drawing>
      </w:r>
    </w:p>
    <w:p w14:paraId="028718D3" w14:textId="0E6C66BF" w:rsidR="4F762519" w:rsidRDefault="4F762519" w:rsidP="4F762519">
      <w:pPr>
        <w:pStyle w:val="aa"/>
        <w:jc w:val="center"/>
      </w:pPr>
      <w:r>
        <w:t>Figure G.1 — Layered Configuration of RoIS Engines</w:t>
      </w:r>
    </w:p>
    <w:p w14:paraId="2E16D78E" w14:textId="726C2EFF" w:rsidR="00E54294" w:rsidRDefault="00E54294" w:rsidP="00E54294"/>
    <w:p w14:paraId="58F374A4" w14:textId="2E88A776" w:rsidR="00E54294" w:rsidRDefault="00E54294" w:rsidP="00E54294"/>
    <w:p w14:paraId="2D888D82" w14:textId="64BB6D7A" w:rsidR="4F762519" w:rsidRDefault="4F762519" w:rsidP="4F762519">
      <w:r>
        <w:t>The RoIS specification does not explicitly define a concrete method for realizing this mechanism among RoIS Engines in a layered configuration. However, because a lower-layer RoIS Engine implements the interface of a RoIS Engine, the upper-layer RoIS Engine can readily be implemented so that it accesses the lower-layer RoIS Engine as if it were a Service Application. Figure G.2 shows an example of the sequence obtained when the sequence shown in Figure 8.2 is applied to the configuration shown in Figure G.1.</w:t>
      </w:r>
    </w:p>
    <w:p w14:paraId="30AA4B68" w14:textId="77777777" w:rsidR="00DE263E" w:rsidRDefault="75EC5179" w:rsidP="00DE263E">
      <w:pPr>
        <w:keepNext/>
      </w:pPr>
      <w:r>
        <w:rPr>
          <w:noProof/>
        </w:rPr>
        <w:drawing>
          <wp:inline distT="0" distB="0" distL="0" distR="0" wp14:anchorId="175ACE6E" wp14:editId="3A5016B8">
            <wp:extent cx="5400040" cy="3691255"/>
            <wp:effectExtent l="0" t="0" r="0" b="0"/>
            <wp:docPr id="1673306365" name="図 3">
              <a:extLst xmlns:a="http://schemas.openxmlformats.org/drawingml/2006/main">
                <a:ext uri="{FF2B5EF4-FFF2-40B4-BE49-F238E27FC236}">
                  <a16:creationId xmlns:a16="http://schemas.microsoft.com/office/drawing/2014/main" id="{C4EC9F2E-4CDA-6855-30B3-EE51082E83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3">
                      <a:extLst>
                        <a:ext uri="{FF2B5EF4-FFF2-40B4-BE49-F238E27FC236}">
                          <a16:creationId xmlns:a16="http://schemas.microsoft.com/office/drawing/2014/main" id="{C4EC9F2E-4CDA-6855-30B3-EE51082E83E7}"/>
                        </a:ext>
                      </a:extLst>
                    </pic:cNvPr>
                    <pic:cNvPicPr>
                      <a:picLocks noChangeAspect="1"/>
                    </pic:cNvPicPr>
                  </pic:nvPicPr>
                  <pic:blipFill>
                    <a:blip r:embed="rId7"/>
                    <a:stretch>
                      <a:fillRect/>
                    </a:stretch>
                  </pic:blipFill>
                  <pic:spPr>
                    <a:xfrm>
                      <a:off x="0" y="0"/>
                      <a:ext cx="5400040" cy="3691255"/>
                    </a:xfrm>
                    <a:prstGeom prst="rect">
                      <a:avLst/>
                    </a:prstGeom>
                  </pic:spPr>
                </pic:pic>
              </a:graphicData>
            </a:graphic>
          </wp:inline>
        </w:drawing>
      </w:r>
    </w:p>
    <w:p w14:paraId="42EE4010" w14:textId="57927363" w:rsidR="4F762519" w:rsidRDefault="4F762519" w:rsidP="4F762519">
      <w:pPr>
        <w:pStyle w:val="aa"/>
      </w:pPr>
      <w:r>
        <w:t>Figure G.2 — Example Sequence in Layered RoIS Engines</w:t>
      </w:r>
    </w:p>
    <w:p w14:paraId="0ECEA653" w14:textId="06C4CBEA" w:rsidR="00E54294" w:rsidRDefault="00E54294" w:rsidP="00E54294">
      <w:r>
        <w:br/>
      </w:r>
    </w:p>
    <w:p w14:paraId="19916E50" w14:textId="28920105" w:rsidR="4F762519" w:rsidRDefault="4F762519" w:rsidP="4F762519">
      <w:r>
        <w:t>When a Service Application uses a Functional Component, it can use the RoIS Components transparently through the Total System RoIS Engine without regard to the layered RoIS Engine configuration. In other words, from the viewpoint of the Service Application, any RoIS Components are equivalent to those directly under the Total System, which is the communication peer.</w:t>
      </w:r>
    </w:p>
    <w:p w14:paraId="15801549" w14:textId="7F478800" w:rsidR="4F762519" w:rsidRDefault="4F762519" w:rsidP="4F762519">
      <w:r>
        <w:t>Accordingly, from the viewpoint of the Service Application, the sequence diagram in Figure G.2 appears as shown in Figure G.3, as if no lower-layer RoIS Engines existed.</w:t>
      </w:r>
    </w:p>
    <w:p w14:paraId="00567757" w14:textId="7A8141A6" w:rsidR="00E54294" w:rsidRDefault="00E54294" w:rsidP="00E54294">
      <w:r w:rsidRPr="00E54294">
        <w:rPr>
          <w:noProof/>
        </w:rPr>
        <w:lastRenderedPageBreak/>
        <w:drawing>
          <wp:inline distT="0" distB="0" distL="0" distR="0" wp14:anchorId="4BC0762A" wp14:editId="4BF24C3B">
            <wp:extent cx="5400040" cy="4246880"/>
            <wp:effectExtent l="0" t="0" r="0" b="0"/>
            <wp:docPr id="3" name="図 2">
              <a:extLst xmlns:a="http://schemas.openxmlformats.org/drawingml/2006/main">
                <a:ext uri="{FF2B5EF4-FFF2-40B4-BE49-F238E27FC236}">
                  <a16:creationId xmlns:a16="http://schemas.microsoft.com/office/drawing/2014/main" id="{977F4FD1-BFCD-287F-295D-6677B685EB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図 2">
                      <a:extLst>
                        <a:ext uri="{FF2B5EF4-FFF2-40B4-BE49-F238E27FC236}">
                          <a16:creationId xmlns:a16="http://schemas.microsoft.com/office/drawing/2014/main" id="{977F4FD1-BFCD-287F-295D-6677B685EB3B}"/>
                        </a:ext>
                      </a:extLst>
                    </pic:cNvPr>
                    <pic:cNvPicPr>
                      <a:picLocks noChangeAspect="1"/>
                    </pic:cNvPicPr>
                  </pic:nvPicPr>
                  <pic:blipFill>
                    <a:blip r:embed="rId8"/>
                    <a:stretch>
                      <a:fillRect/>
                    </a:stretch>
                  </pic:blipFill>
                  <pic:spPr>
                    <a:xfrm>
                      <a:off x="0" y="0"/>
                      <a:ext cx="5400040" cy="4246880"/>
                    </a:xfrm>
                    <a:prstGeom prst="rect">
                      <a:avLst/>
                    </a:prstGeom>
                  </pic:spPr>
                </pic:pic>
              </a:graphicData>
            </a:graphic>
          </wp:inline>
        </w:drawing>
      </w:r>
    </w:p>
    <w:p w14:paraId="479DFCBA" w14:textId="77777777" w:rsidR="00E54294" w:rsidRDefault="00E54294"/>
    <w:p w14:paraId="5AB1CC9A" w14:textId="01907864" w:rsidR="4F762519" w:rsidRDefault="4F762519" w:rsidP="4F762519">
      <w:pPr>
        <w:pStyle w:val="aa"/>
      </w:pPr>
      <w:r>
        <w:t>Figure G.3 — Sequence Observed by the Service Application</w:t>
      </w:r>
    </w:p>
    <w:sectPr w:rsidR="4F762519" w:rsidSect="00E54294">
      <w:headerReference w:type="default" r:id="rId9"/>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295E66" w14:textId="77777777" w:rsidR="00FA7BAE" w:rsidRDefault="00FA7BAE" w:rsidP="00712291">
      <w:r>
        <w:separator/>
      </w:r>
    </w:p>
  </w:endnote>
  <w:endnote w:type="continuationSeparator" w:id="0">
    <w:p w14:paraId="54539CD3" w14:textId="77777777" w:rsidR="00FA7BAE" w:rsidRDefault="00FA7BAE" w:rsidP="007122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AA58E" w14:textId="77777777" w:rsidR="00FA7BAE" w:rsidRDefault="00FA7BAE" w:rsidP="00712291">
      <w:r>
        <w:separator/>
      </w:r>
    </w:p>
  </w:footnote>
  <w:footnote w:type="continuationSeparator" w:id="0">
    <w:p w14:paraId="1591EF59" w14:textId="77777777" w:rsidR="00FA7BAE" w:rsidRDefault="00FA7BAE" w:rsidP="007122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71AD9" w14:textId="6CC3E6DD" w:rsidR="00712291" w:rsidRDefault="00712291">
    <w:pPr>
      <w:pStyle w:val="ab"/>
    </w:pPr>
    <w:r>
      <w:t>robotics/2026-06-0</w:t>
    </w:r>
    <w:r w:rsidR="0046068A">
      <w:t>5</w:t>
    </w:r>
    <w:r>
      <w:t>: RoIS 2.1 Annex G (draft)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294"/>
    <w:rsid w:val="00091921"/>
    <w:rsid w:val="001921F9"/>
    <w:rsid w:val="002E40A2"/>
    <w:rsid w:val="0046068A"/>
    <w:rsid w:val="00712291"/>
    <w:rsid w:val="007935CD"/>
    <w:rsid w:val="00DE263E"/>
    <w:rsid w:val="00E54294"/>
    <w:rsid w:val="00FA7BAE"/>
    <w:rsid w:val="05D3DEA1"/>
    <w:rsid w:val="11D7760E"/>
    <w:rsid w:val="2BE84C44"/>
    <w:rsid w:val="32D415A7"/>
    <w:rsid w:val="373D1AD6"/>
    <w:rsid w:val="4DA20029"/>
    <w:rsid w:val="4F762519"/>
    <w:rsid w:val="62871187"/>
    <w:rsid w:val="75EC51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40F5C2E"/>
  <w15:chartTrackingRefBased/>
  <w15:docId w15:val="{95FAA0DA-EA60-FC42-891D-60515090B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54294"/>
    <w:pPr>
      <w:widowControl w:val="0"/>
      <w:spacing w:after="0" w:line="240" w:lineRule="auto"/>
    </w:pPr>
    <w:rPr>
      <w:sz w:val="21"/>
    </w:rPr>
  </w:style>
  <w:style w:type="paragraph" w:styleId="1">
    <w:name w:val="heading 1"/>
    <w:basedOn w:val="a"/>
    <w:next w:val="a"/>
    <w:link w:val="10"/>
    <w:uiPriority w:val="9"/>
    <w:qFormat/>
    <w:rsid w:val="00E54294"/>
    <w:pPr>
      <w:keepNext/>
      <w:keepLines/>
      <w:widowControl/>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E54294"/>
    <w:pPr>
      <w:keepNext/>
      <w:keepLines/>
      <w:widowControl/>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E54294"/>
    <w:pPr>
      <w:keepNext/>
      <w:keepLines/>
      <w:widowControl/>
      <w:spacing w:before="160" w:after="80" w:line="278" w:lineRule="auto"/>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E54294"/>
    <w:pPr>
      <w:keepNext/>
      <w:keepLines/>
      <w:widowControl/>
      <w:spacing w:before="80" w:after="40" w:line="278" w:lineRule="auto"/>
      <w:outlineLvl w:val="3"/>
    </w:pPr>
    <w:rPr>
      <w:rFonts w:eastAsiaTheme="majorEastAsia" w:cstheme="majorBidi"/>
      <w:i/>
      <w:iCs/>
      <w:color w:val="0F4761" w:themeColor="accent1" w:themeShade="BF"/>
      <w:sz w:val="24"/>
    </w:rPr>
  </w:style>
  <w:style w:type="paragraph" w:styleId="5">
    <w:name w:val="heading 5"/>
    <w:basedOn w:val="a"/>
    <w:next w:val="a"/>
    <w:link w:val="50"/>
    <w:uiPriority w:val="9"/>
    <w:semiHidden/>
    <w:unhideWhenUsed/>
    <w:qFormat/>
    <w:rsid w:val="00E54294"/>
    <w:pPr>
      <w:keepNext/>
      <w:keepLines/>
      <w:widowControl/>
      <w:spacing w:before="80" w:after="40" w:line="278" w:lineRule="auto"/>
      <w:outlineLvl w:val="4"/>
    </w:pPr>
    <w:rPr>
      <w:rFonts w:eastAsiaTheme="majorEastAsia" w:cstheme="majorBidi"/>
      <w:color w:val="0F4761" w:themeColor="accent1" w:themeShade="BF"/>
      <w:sz w:val="24"/>
    </w:rPr>
  </w:style>
  <w:style w:type="paragraph" w:styleId="6">
    <w:name w:val="heading 6"/>
    <w:basedOn w:val="a"/>
    <w:next w:val="a"/>
    <w:link w:val="60"/>
    <w:uiPriority w:val="9"/>
    <w:semiHidden/>
    <w:unhideWhenUsed/>
    <w:qFormat/>
    <w:rsid w:val="00E54294"/>
    <w:pPr>
      <w:keepNext/>
      <w:keepLines/>
      <w:widowControl/>
      <w:spacing w:before="40" w:line="278" w:lineRule="auto"/>
      <w:outlineLvl w:val="5"/>
    </w:pPr>
    <w:rPr>
      <w:rFonts w:eastAsiaTheme="majorEastAsia" w:cstheme="majorBidi"/>
      <w:i/>
      <w:iCs/>
      <w:color w:val="595959" w:themeColor="text1" w:themeTint="A6"/>
      <w:sz w:val="24"/>
    </w:rPr>
  </w:style>
  <w:style w:type="paragraph" w:styleId="7">
    <w:name w:val="heading 7"/>
    <w:basedOn w:val="a"/>
    <w:next w:val="a"/>
    <w:link w:val="70"/>
    <w:uiPriority w:val="9"/>
    <w:semiHidden/>
    <w:unhideWhenUsed/>
    <w:qFormat/>
    <w:rsid w:val="00E54294"/>
    <w:pPr>
      <w:keepNext/>
      <w:keepLines/>
      <w:widowControl/>
      <w:spacing w:before="40" w:line="278" w:lineRule="auto"/>
      <w:outlineLvl w:val="6"/>
    </w:pPr>
    <w:rPr>
      <w:rFonts w:eastAsiaTheme="majorEastAsia" w:cstheme="majorBidi"/>
      <w:color w:val="595959" w:themeColor="text1" w:themeTint="A6"/>
      <w:sz w:val="24"/>
    </w:rPr>
  </w:style>
  <w:style w:type="paragraph" w:styleId="8">
    <w:name w:val="heading 8"/>
    <w:basedOn w:val="a"/>
    <w:next w:val="a"/>
    <w:link w:val="80"/>
    <w:uiPriority w:val="9"/>
    <w:semiHidden/>
    <w:unhideWhenUsed/>
    <w:qFormat/>
    <w:rsid w:val="00E54294"/>
    <w:pPr>
      <w:keepNext/>
      <w:keepLines/>
      <w:widowControl/>
      <w:spacing w:line="278" w:lineRule="auto"/>
      <w:outlineLvl w:val="7"/>
    </w:pPr>
    <w:rPr>
      <w:rFonts w:eastAsiaTheme="majorEastAsia" w:cstheme="majorBidi"/>
      <w:i/>
      <w:iCs/>
      <w:color w:val="272727" w:themeColor="text1" w:themeTint="D8"/>
      <w:sz w:val="24"/>
    </w:rPr>
  </w:style>
  <w:style w:type="paragraph" w:styleId="9">
    <w:name w:val="heading 9"/>
    <w:basedOn w:val="a"/>
    <w:next w:val="a"/>
    <w:link w:val="90"/>
    <w:uiPriority w:val="9"/>
    <w:semiHidden/>
    <w:unhideWhenUsed/>
    <w:qFormat/>
    <w:rsid w:val="00E54294"/>
    <w:pPr>
      <w:keepNext/>
      <w:keepLines/>
      <w:widowControl/>
      <w:spacing w:line="278" w:lineRule="auto"/>
      <w:outlineLvl w:val="8"/>
    </w:pPr>
    <w:rPr>
      <w:rFonts w:eastAsiaTheme="majorEastAsia" w:cstheme="majorBidi"/>
      <w:color w:val="272727" w:themeColor="text1" w:themeTint="D8"/>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E54294"/>
    <w:rPr>
      <w:rFonts w:asciiTheme="majorHAnsi" w:eastAsiaTheme="majorEastAsia" w:hAnsiTheme="majorHAnsi" w:cstheme="majorBidi"/>
      <w:color w:val="0F4761" w:themeColor="accent1" w:themeShade="BF"/>
      <w:sz w:val="40"/>
      <w:szCs w:val="40"/>
    </w:rPr>
  </w:style>
  <w:style w:type="character" w:customStyle="1" w:styleId="20">
    <w:name w:val="見出し 2 (文字)"/>
    <w:basedOn w:val="a0"/>
    <w:link w:val="2"/>
    <w:uiPriority w:val="9"/>
    <w:semiHidden/>
    <w:rsid w:val="00E54294"/>
    <w:rPr>
      <w:rFonts w:asciiTheme="majorHAnsi" w:eastAsiaTheme="majorEastAsia" w:hAnsiTheme="majorHAnsi" w:cstheme="majorBidi"/>
      <w:color w:val="0F4761" w:themeColor="accent1" w:themeShade="BF"/>
      <w:sz w:val="32"/>
      <w:szCs w:val="32"/>
    </w:rPr>
  </w:style>
  <w:style w:type="character" w:customStyle="1" w:styleId="30">
    <w:name w:val="見出し 3 (文字)"/>
    <w:basedOn w:val="a0"/>
    <w:link w:val="3"/>
    <w:uiPriority w:val="9"/>
    <w:semiHidden/>
    <w:rsid w:val="00E54294"/>
    <w:rPr>
      <w:rFonts w:eastAsiaTheme="majorEastAsia" w:cstheme="majorBidi"/>
      <w:color w:val="0F4761" w:themeColor="accent1" w:themeShade="BF"/>
      <w:sz w:val="28"/>
      <w:szCs w:val="28"/>
    </w:rPr>
  </w:style>
  <w:style w:type="character" w:customStyle="1" w:styleId="40">
    <w:name w:val="見出し 4 (文字)"/>
    <w:basedOn w:val="a0"/>
    <w:link w:val="4"/>
    <w:uiPriority w:val="9"/>
    <w:semiHidden/>
    <w:rsid w:val="00E54294"/>
    <w:rPr>
      <w:rFonts w:eastAsiaTheme="majorEastAsia" w:cstheme="majorBidi"/>
      <w:i/>
      <w:iCs/>
      <w:color w:val="0F4761" w:themeColor="accent1" w:themeShade="BF"/>
    </w:rPr>
  </w:style>
  <w:style w:type="character" w:customStyle="1" w:styleId="50">
    <w:name w:val="見出し 5 (文字)"/>
    <w:basedOn w:val="a0"/>
    <w:link w:val="5"/>
    <w:uiPriority w:val="9"/>
    <w:semiHidden/>
    <w:rsid w:val="00E54294"/>
    <w:rPr>
      <w:rFonts w:eastAsiaTheme="majorEastAsia" w:cstheme="majorBidi"/>
      <w:color w:val="0F4761" w:themeColor="accent1" w:themeShade="BF"/>
    </w:rPr>
  </w:style>
  <w:style w:type="character" w:customStyle="1" w:styleId="60">
    <w:name w:val="見出し 6 (文字)"/>
    <w:basedOn w:val="a0"/>
    <w:link w:val="6"/>
    <w:uiPriority w:val="9"/>
    <w:semiHidden/>
    <w:rsid w:val="00E54294"/>
    <w:rPr>
      <w:rFonts w:eastAsiaTheme="majorEastAsia" w:cstheme="majorBidi"/>
      <w:i/>
      <w:iCs/>
      <w:color w:val="595959" w:themeColor="text1" w:themeTint="A6"/>
    </w:rPr>
  </w:style>
  <w:style w:type="character" w:customStyle="1" w:styleId="70">
    <w:name w:val="見出し 7 (文字)"/>
    <w:basedOn w:val="a0"/>
    <w:link w:val="7"/>
    <w:uiPriority w:val="9"/>
    <w:semiHidden/>
    <w:rsid w:val="00E54294"/>
    <w:rPr>
      <w:rFonts w:eastAsiaTheme="majorEastAsia" w:cstheme="majorBidi"/>
      <w:color w:val="595959" w:themeColor="text1" w:themeTint="A6"/>
    </w:rPr>
  </w:style>
  <w:style w:type="character" w:customStyle="1" w:styleId="80">
    <w:name w:val="見出し 8 (文字)"/>
    <w:basedOn w:val="a0"/>
    <w:link w:val="8"/>
    <w:uiPriority w:val="9"/>
    <w:semiHidden/>
    <w:rsid w:val="00E54294"/>
    <w:rPr>
      <w:rFonts w:eastAsiaTheme="majorEastAsia" w:cstheme="majorBidi"/>
      <w:i/>
      <w:iCs/>
      <w:color w:val="272727" w:themeColor="text1" w:themeTint="D8"/>
    </w:rPr>
  </w:style>
  <w:style w:type="character" w:customStyle="1" w:styleId="90">
    <w:name w:val="見出し 9 (文字)"/>
    <w:basedOn w:val="a0"/>
    <w:link w:val="9"/>
    <w:uiPriority w:val="9"/>
    <w:semiHidden/>
    <w:rsid w:val="00E54294"/>
    <w:rPr>
      <w:rFonts w:eastAsiaTheme="majorEastAsia" w:cstheme="majorBidi"/>
      <w:color w:val="272727" w:themeColor="text1" w:themeTint="D8"/>
    </w:rPr>
  </w:style>
  <w:style w:type="paragraph" w:styleId="a3">
    <w:name w:val="Title"/>
    <w:basedOn w:val="a"/>
    <w:next w:val="a"/>
    <w:link w:val="a4"/>
    <w:uiPriority w:val="10"/>
    <w:qFormat/>
    <w:rsid w:val="00E54294"/>
    <w:pPr>
      <w:widowControl/>
      <w:spacing w:after="80"/>
      <w:contextualSpacing/>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E5429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54294"/>
    <w:pPr>
      <w:widowControl/>
      <w:numPr>
        <w:ilvl w:val="1"/>
      </w:numPr>
      <w:spacing w:after="160" w:line="278" w:lineRule="auto"/>
    </w:pPr>
    <w:rPr>
      <w:rFonts w:eastAsiaTheme="majorEastAsia" w:cstheme="majorBidi"/>
      <w:color w:val="595959" w:themeColor="text1" w:themeTint="A6"/>
      <w:spacing w:val="15"/>
      <w:sz w:val="28"/>
      <w:szCs w:val="28"/>
    </w:rPr>
  </w:style>
  <w:style w:type="character" w:customStyle="1" w:styleId="a6">
    <w:name w:val="副題 (文字)"/>
    <w:basedOn w:val="a0"/>
    <w:link w:val="a5"/>
    <w:uiPriority w:val="11"/>
    <w:rsid w:val="00E5429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E54294"/>
    <w:pPr>
      <w:widowControl/>
      <w:spacing w:before="160" w:after="160" w:line="278" w:lineRule="auto"/>
      <w:jc w:val="center"/>
    </w:pPr>
    <w:rPr>
      <w:i/>
      <w:iCs/>
      <w:color w:val="404040" w:themeColor="text1" w:themeTint="BF"/>
      <w:sz w:val="24"/>
    </w:rPr>
  </w:style>
  <w:style w:type="character" w:customStyle="1" w:styleId="a8">
    <w:name w:val="引用文 (文字)"/>
    <w:basedOn w:val="a0"/>
    <w:link w:val="a7"/>
    <w:uiPriority w:val="29"/>
    <w:rsid w:val="00E54294"/>
    <w:rPr>
      <w:i/>
      <w:iCs/>
      <w:color w:val="404040" w:themeColor="text1" w:themeTint="BF"/>
    </w:rPr>
  </w:style>
  <w:style w:type="paragraph" w:styleId="a9">
    <w:name w:val="List Paragraph"/>
    <w:basedOn w:val="a"/>
    <w:uiPriority w:val="34"/>
    <w:qFormat/>
    <w:rsid w:val="00E54294"/>
    <w:pPr>
      <w:widowControl/>
      <w:spacing w:after="160" w:line="278" w:lineRule="auto"/>
      <w:ind w:left="720"/>
      <w:contextualSpacing/>
    </w:pPr>
    <w:rPr>
      <w:sz w:val="24"/>
    </w:rPr>
  </w:style>
  <w:style w:type="character" w:styleId="21">
    <w:name w:val="Intense Emphasis"/>
    <w:basedOn w:val="a0"/>
    <w:uiPriority w:val="21"/>
    <w:qFormat/>
    <w:rsid w:val="00E54294"/>
    <w:rPr>
      <w:i/>
      <w:iCs/>
      <w:color w:val="0F4761" w:themeColor="accent1" w:themeShade="BF"/>
    </w:rPr>
  </w:style>
  <w:style w:type="paragraph" w:styleId="22">
    <w:name w:val="Intense Quote"/>
    <w:basedOn w:val="a"/>
    <w:next w:val="a"/>
    <w:link w:val="23"/>
    <w:uiPriority w:val="30"/>
    <w:qFormat/>
    <w:rsid w:val="00E54294"/>
    <w:pPr>
      <w:widowControl/>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rPr>
  </w:style>
  <w:style w:type="character" w:customStyle="1" w:styleId="23">
    <w:name w:val="引用文 2 (文字)"/>
    <w:basedOn w:val="a0"/>
    <w:link w:val="22"/>
    <w:uiPriority w:val="30"/>
    <w:rsid w:val="00E54294"/>
    <w:rPr>
      <w:i/>
      <w:iCs/>
      <w:color w:val="0F4761" w:themeColor="accent1" w:themeShade="BF"/>
    </w:rPr>
  </w:style>
  <w:style w:type="character" w:styleId="24">
    <w:name w:val="Intense Reference"/>
    <w:basedOn w:val="a0"/>
    <w:uiPriority w:val="32"/>
    <w:qFormat/>
    <w:rsid w:val="00E54294"/>
    <w:rPr>
      <w:b/>
      <w:bCs/>
      <w:smallCaps/>
      <w:color w:val="0F4761" w:themeColor="accent1" w:themeShade="BF"/>
      <w:spacing w:val="5"/>
    </w:rPr>
  </w:style>
  <w:style w:type="paragraph" w:styleId="aa">
    <w:name w:val="caption"/>
    <w:basedOn w:val="a"/>
    <w:next w:val="a"/>
    <w:uiPriority w:val="35"/>
    <w:unhideWhenUsed/>
    <w:qFormat/>
    <w:rsid w:val="00E54294"/>
    <w:pPr>
      <w:spacing w:after="200"/>
    </w:pPr>
    <w:rPr>
      <w:i/>
      <w:iCs/>
      <w:color w:val="0E2841" w:themeColor="text2"/>
      <w:sz w:val="18"/>
      <w:szCs w:val="18"/>
    </w:rPr>
  </w:style>
  <w:style w:type="paragraph" w:styleId="ab">
    <w:name w:val="header"/>
    <w:basedOn w:val="a"/>
    <w:link w:val="ac"/>
    <w:uiPriority w:val="99"/>
    <w:unhideWhenUsed/>
    <w:rsid w:val="00712291"/>
    <w:pPr>
      <w:tabs>
        <w:tab w:val="center" w:pos="4252"/>
        <w:tab w:val="right" w:pos="8504"/>
      </w:tabs>
      <w:snapToGrid w:val="0"/>
    </w:pPr>
  </w:style>
  <w:style w:type="character" w:customStyle="1" w:styleId="ac">
    <w:name w:val="ヘッダー (文字)"/>
    <w:basedOn w:val="a0"/>
    <w:link w:val="ab"/>
    <w:uiPriority w:val="99"/>
    <w:rsid w:val="00712291"/>
    <w:rPr>
      <w:sz w:val="21"/>
      <w:lang w:val="en-US"/>
    </w:rPr>
  </w:style>
  <w:style w:type="paragraph" w:styleId="ad">
    <w:name w:val="footer"/>
    <w:basedOn w:val="a"/>
    <w:link w:val="ae"/>
    <w:uiPriority w:val="99"/>
    <w:unhideWhenUsed/>
    <w:rsid w:val="00712291"/>
    <w:pPr>
      <w:tabs>
        <w:tab w:val="center" w:pos="4252"/>
        <w:tab w:val="right" w:pos="8504"/>
      </w:tabs>
      <w:snapToGrid w:val="0"/>
    </w:pPr>
  </w:style>
  <w:style w:type="character" w:customStyle="1" w:styleId="ae">
    <w:name w:val="フッター (文字)"/>
    <w:basedOn w:val="a0"/>
    <w:link w:val="ad"/>
    <w:uiPriority w:val="99"/>
    <w:rsid w:val="00712291"/>
    <w:rPr>
      <w:sz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410</Words>
  <Characters>2207</Characters>
  <Application>Microsoft Office Word</Application>
  <DocSecurity>0</DocSecurity>
  <Lines>43</Lines>
  <Paragraphs>11</Paragraphs>
  <ScaleCrop>false</ScaleCrop>
  <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Koji KAMEI</dc:creator>
  <cp:keywords/>
  <dc:description/>
  <cp:lastModifiedBy>Koji KAMEI</cp:lastModifiedBy>
  <cp:revision>4</cp:revision>
  <dcterms:created xsi:type="dcterms:W3CDTF">2026-05-20T06:21:00Z</dcterms:created>
  <dcterms:modified xsi:type="dcterms:W3CDTF">2026-05-28T11:59:00Z</dcterms:modified>
</cp:coreProperties>
</file>