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CA21" w14:textId="77777777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>Disposition:  Resolved</w:t>
      </w:r>
      <w:bookmarkEnd w:id="0"/>
    </w:p>
    <w:p w14:paraId="3401297C" w14:textId="758F5DAD" w:rsidR="00036EF5" w:rsidRDefault="00036EF5">
      <w:pPr>
        <w:pStyle w:val="OMGIssueNO"/>
        <w:pageBreakBefore w:val="0"/>
      </w:pPr>
      <w:bookmarkStart w:id="1" w:name="_Toc30934241"/>
      <w:r>
        <w:t xml:space="preserve">OMG Issue No:  </w:t>
      </w:r>
      <w:bookmarkEnd w:id="1"/>
      <w:r w:rsidR="00314C5F">
        <w:rPr>
          <w:color w:val="FF0000"/>
        </w:rPr>
        <w:t>SBVR</w:t>
      </w:r>
      <w:r w:rsidR="008D69FF">
        <w:rPr>
          <w:color w:val="FF0000"/>
        </w:rPr>
        <w:t xml:space="preserve"> </w:t>
      </w:r>
      <w:r w:rsidR="00314C5F">
        <w:rPr>
          <w:color w:val="FF0000"/>
        </w:rPr>
        <w:t>15-</w:t>
      </w:r>
      <w:r w:rsidR="00AF06B5">
        <w:rPr>
          <w:color w:val="FF0000"/>
        </w:rPr>
        <w:t>08</w:t>
      </w:r>
    </w:p>
    <w:p w14:paraId="2BA13731" w14:textId="78ECBEA3" w:rsidR="00150F51" w:rsidRPr="00620B54" w:rsidRDefault="00150F51" w:rsidP="00150F51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2" w:name="_Toc463755757"/>
      <w:bookmarkStart w:id="3" w:name="_Toc463769516"/>
      <w:bookmarkStart w:id="4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AF06B5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19680</w:t>
      </w:r>
    </w:p>
    <w:p w14:paraId="62CF0EAB" w14:textId="5FAD4064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2"/>
      <w:bookmarkEnd w:id="3"/>
      <w:bookmarkEnd w:id="4"/>
      <w:r w:rsidR="00AF06B5" w:rsidRPr="00AF06B5">
        <w:t>The use of UML described in the Annex does not represent any known UML tool nor the UML specification</w:t>
      </w:r>
    </w:p>
    <w:p w14:paraId="3C7294FB" w14:textId="77777777" w:rsidR="00036EF5" w:rsidRPr="00A8562C" w:rsidRDefault="00036EF5" w:rsidP="00E75BBD">
      <w:pPr>
        <w:pStyle w:val="OMGSource"/>
        <w:spacing w:before="240" w:after="120"/>
      </w:pPr>
      <w:r w:rsidRPr="00A8562C">
        <w:t>Source:</w:t>
      </w:r>
    </w:p>
    <w:p w14:paraId="12CA3961" w14:textId="0344F641" w:rsidR="00036EF5" w:rsidRPr="00E00C4E" w:rsidRDefault="00AF06B5" w:rsidP="00036EF5">
      <w:pPr>
        <w:pStyle w:val="BodyText"/>
        <w:spacing w:before="120" w:after="120"/>
      </w:pPr>
      <w:r>
        <w:t>Pete Rivett</w:t>
      </w:r>
      <w:r w:rsidRPr="00E00C4E">
        <w:t xml:space="preserve"> (</w:t>
      </w:r>
      <w:r>
        <w:rPr>
          <w:rFonts w:ascii="Times New Roman" w:hAnsi="Times New Roman"/>
        </w:rPr>
        <w:t>pete.rivett@adaptive.com</w:t>
      </w:r>
      <w:r w:rsidRPr="00E00C4E">
        <w:t>)</w:t>
      </w:r>
    </w:p>
    <w:p w14:paraId="7307E9B2" w14:textId="77777777" w:rsidR="00036EF5" w:rsidRDefault="00036EF5" w:rsidP="004E508A">
      <w:pPr>
        <w:pStyle w:val="OMGSummary"/>
        <w:keepNext/>
        <w:spacing w:before="240" w:after="120"/>
      </w:pPr>
      <w:r>
        <w:t>Summary:</w:t>
      </w:r>
    </w:p>
    <w:p w14:paraId="795D52AC" w14:textId="60136551" w:rsidR="00AF06B5" w:rsidRDefault="00AF06B5" w:rsidP="00AF06B5">
      <w:pPr>
        <w:pStyle w:val="BodyText"/>
      </w:pPr>
      <w:r>
        <w:t>The use of UML described in the Annex</w:t>
      </w:r>
      <w:r>
        <w:rPr>
          <w:rStyle w:val="FootnoteReference"/>
        </w:rPr>
        <w:footnoteReference w:id="1"/>
      </w:r>
      <w:r>
        <w:t xml:space="preserve"> does not represent any known UML tool nor the UML specification. The examples are UML-like diagrams presumably created with a drawing tool.</w:t>
      </w:r>
    </w:p>
    <w:p w14:paraId="0C3976D7" w14:textId="77777777" w:rsidR="00AF06B5" w:rsidRDefault="00AF06B5" w:rsidP="00AF06B5">
      <w:pPr>
        <w:pStyle w:val="BodyText"/>
        <w:numPr>
          <w:ilvl w:val="0"/>
          <w:numId w:val="27"/>
        </w:numPr>
      </w:pPr>
      <w:r>
        <w:t xml:space="preserve">In Figure C.1 the </w:t>
      </w:r>
      <w:proofErr w:type="gramStart"/>
      <w:r>
        <w:t>right hand</w:t>
      </w:r>
      <w:proofErr w:type="gramEnd"/>
      <w:r>
        <w:t xml:space="preserve"> class is shown with 2 names and an italicized label “also:” this is not supported.</w:t>
      </w:r>
    </w:p>
    <w:p w14:paraId="1390CE61" w14:textId="77777777" w:rsidR="00AF06B5" w:rsidRDefault="00AF06B5" w:rsidP="00AF06B5">
      <w:pPr>
        <w:pStyle w:val="BodyText"/>
        <w:numPr>
          <w:ilvl w:val="0"/>
          <w:numId w:val="27"/>
        </w:numPr>
      </w:pPr>
      <w:r>
        <w:t>Section C.3 and Figure C.2: in UML, Instance diagrams only the class and not the instance name is ever underlined</w:t>
      </w:r>
    </w:p>
    <w:p w14:paraId="354A2286" w14:textId="64973AFB" w:rsidR="00AF06B5" w:rsidRDefault="00AF06B5" w:rsidP="00AF06B5">
      <w:pPr>
        <w:pStyle w:val="BodyText"/>
        <w:numPr>
          <w:ilvl w:val="0"/>
          <w:numId w:val="27"/>
        </w:numPr>
      </w:pPr>
      <w:r>
        <w:t>Figure 6.3</w:t>
      </w:r>
      <w:r w:rsidR="001034C9">
        <w:rPr>
          <w:rStyle w:val="FootnoteReference"/>
        </w:rPr>
        <w:footnoteReference w:id="2"/>
      </w:r>
      <w:r>
        <w:t xml:space="preserve"> is not a valid UML diagram if the lower shapes are </w:t>
      </w:r>
      <w:proofErr w:type="spellStart"/>
      <w:r>
        <w:t>InstanceSpecifications</w:t>
      </w:r>
      <w:proofErr w:type="spellEnd"/>
      <w:r>
        <w:t>: they should have a colon after the names which should not be underlined. The use of Dependencies is not valid for class membership.</w:t>
      </w:r>
    </w:p>
    <w:p w14:paraId="781B4CDD" w14:textId="7ADA4B0B" w:rsidR="00AF06B5" w:rsidRDefault="00AF06B5" w:rsidP="00AF06B5">
      <w:pPr>
        <w:pStyle w:val="BodyText"/>
        <w:numPr>
          <w:ilvl w:val="0"/>
          <w:numId w:val="27"/>
        </w:numPr>
      </w:pPr>
      <w:r>
        <w:t>Figure 6.4</w:t>
      </w:r>
      <w:r w:rsidR="001034C9">
        <w:rPr>
          <w:rStyle w:val="FootnoteReference"/>
        </w:rPr>
        <w:footnoteReference w:id="3"/>
      </w:r>
      <w:r>
        <w:t xml:space="preserve"> is not valid an association may have only one name optionally accompanied by one direction indicator.</w:t>
      </w:r>
    </w:p>
    <w:p w14:paraId="4A60A07D" w14:textId="77777777" w:rsidR="00AF06B5" w:rsidRDefault="00AF06B5" w:rsidP="00AF06B5">
      <w:pPr>
        <w:pStyle w:val="BodyText"/>
        <w:numPr>
          <w:ilvl w:val="0"/>
          <w:numId w:val="27"/>
        </w:numPr>
      </w:pPr>
      <w:r>
        <w:t>Figure C.7, C.12: In general UML does not include the notion of underline/font within a name: it’s modeled only as a text string.</w:t>
      </w:r>
    </w:p>
    <w:p w14:paraId="77F9ABF4" w14:textId="77777777" w:rsidR="00AF06B5" w:rsidRDefault="00AF06B5" w:rsidP="00AF06B5">
      <w:pPr>
        <w:pStyle w:val="BodyText"/>
        <w:numPr>
          <w:ilvl w:val="0"/>
          <w:numId w:val="27"/>
        </w:numPr>
      </w:pPr>
      <w:r>
        <w:t>Figure C.9 is not valid one cannot have an association with only one end.</w:t>
      </w:r>
    </w:p>
    <w:p w14:paraId="4046B9F5" w14:textId="77777777" w:rsidR="00AF06B5" w:rsidRDefault="00AF06B5" w:rsidP="00AF06B5">
      <w:pPr>
        <w:pStyle w:val="BodyText"/>
        <w:numPr>
          <w:ilvl w:val="0"/>
          <w:numId w:val="27"/>
        </w:numPr>
      </w:pPr>
      <w:r>
        <w:t xml:space="preserve">C.7.1, Figure 14: these 2 renderings are semantically identical in UML and serialized the same in XMI. UML </w:t>
      </w:r>
      <w:proofErr w:type="gramStart"/>
      <w:r>
        <w:t>has the ability to</w:t>
      </w:r>
      <w:proofErr w:type="gramEnd"/>
      <w:r>
        <w:t xml:space="preserve"> render the distinction using a </w:t>
      </w:r>
      <w:proofErr w:type="spellStart"/>
      <w:r>
        <w:t>GeneralizationSet</w:t>
      </w:r>
      <w:proofErr w:type="spellEnd"/>
      <w:r>
        <w:t xml:space="preserve"> with </w:t>
      </w:r>
      <w:proofErr w:type="spellStart"/>
      <w:r>
        <w:t>isDisjoint</w:t>
      </w:r>
      <w:proofErr w:type="spellEnd"/>
      <w:r>
        <w:t xml:space="preserve"> so why not use that?</w:t>
      </w:r>
    </w:p>
    <w:p w14:paraId="7458D1D4" w14:textId="77777777" w:rsidR="00AF06B5" w:rsidRDefault="00AF06B5" w:rsidP="00AF06B5">
      <w:pPr>
        <w:pStyle w:val="BodyText"/>
        <w:numPr>
          <w:ilvl w:val="0"/>
          <w:numId w:val="27"/>
        </w:numPr>
      </w:pPr>
      <w:r>
        <w:t xml:space="preserve">C.15: </w:t>
      </w:r>
      <w:proofErr w:type="spellStart"/>
      <w:r>
        <w:t>powertypes</w:t>
      </w:r>
      <w:proofErr w:type="spellEnd"/>
      <w:r>
        <w:t xml:space="preserve"> should not have a name before the colon in UML, though the property of type “branch type” may</w:t>
      </w:r>
    </w:p>
    <w:p w14:paraId="119D38FE" w14:textId="79C28A1F" w:rsidR="00036EF5" w:rsidRPr="00E00C4E" w:rsidRDefault="00AF06B5" w:rsidP="00AF06B5">
      <w:pPr>
        <w:pStyle w:val="BodyText"/>
        <w:numPr>
          <w:ilvl w:val="0"/>
          <w:numId w:val="27"/>
        </w:numPr>
      </w:pPr>
      <w:r>
        <w:t>C.9, Figure C.17: the dashed lien to association diamond is not valid in UML</w:t>
      </w:r>
      <w:r w:rsidR="00036EF5" w:rsidRPr="00E00C4E">
        <w:t>.</w:t>
      </w:r>
    </w:p>
    <w:p w14:paraId="57A02E55" w14:textId="77777777" w:rsidR="00036EF5" w:rsidRDefault="00036EF5" w:rsidP="001C4815">
      <w:pPr>
        <w:pStyle w:val="OMGResolution"/>
        <w:keepNext/>
        <w:spacing w:before="240" w:after="120"/>
      </w:pPr>
      <w:r>
        <w:t>Resolution:</w:t>
      </w:r>
    </w:p>
    <w:p w14:paraId="13D2F4D7" w14:textId="288ACDB3" w:rsidR="009B15D5" w:rsidRDefault="00AF06B5" w:rsidP="00036EF5">
      <w:pPr>
        <w:pStyle w:val="BodyText"/>
        <w:spacing w:before="120" w:after="120"/>
      </w:pPr>
      <w:r>
        <w:t xml:space="preserve">Clarify that </w:t>
      </w:r>
      <w:r w:rsidR="009B15D5">
        <w:t xml:space="preserve">the </w:t>
      </w:r>
      <w:r w:rsidR="008306E7">
        <w:t>diagrams in Clauses 7</w:t>
      </w:r>
      <w:r w:rsidR="009B15D5">
        <w:t>–21 do</w:t>
      </w:r>
      <w:r>
        <w:t xml:space="preserve"> not </w:t>
      </w:r>
      <w:r w:rsidR="001C4815">
        <w:t>depict</w:t>
      </w:r>
      <w:r>
        <w:t xml:space="preserve"> UML conventions nor the use of any UML tool</w:t>
      </w:r>
      <w:r w:rsidR="009B15D5">
        <w:t xml:space="preserve"> and that the documentation in Annex C describe</w:t>
      </w:r>
      <w:r w:rsidR="00660D36">
        <w:t>s</w:t>
      </w:r>
      <w:r w:rsidR="009B15D5">
        <w:t xml:space="preserve"> the conventions used for the kind of diagram called </w:t>
      </w:r>
      <w:r w:rsidR="009B15D5">
        <w:lastRenderedPageBreak/>
        <w:t>a 'concept model diagram' (or 'vocabulary diagram')</w:t>
      </w:r>
      <w:r w:rsidR="00660D36">
        <w:t>, not a UML diagram</w:t>
      </w:r>
      <w:r w:rsidR="001C4815">
        <w:t xml:space="preserve">. Reword the relevant </w:t>
      </w:r>
      <w:r w:rsidR="00CA5DF7">
        <w:t>places</w:t>
      </w:r>
      <w:r w:rsidR="00FF63B9">
        <w:t xml:space="preserve"> in the SBVR document</w:t>
      </w:r>
      <w:r w:rsidR="001C4815">
        <w:t xml:space="preserve"> to </w:t>
      </w:r>
      <w:r w:rsidR="00660D36">
        <w:t>clarify</w:t>
      </w:r>
      <w:r w:rsidR="009B15D5">
        <w:t xml:space="preserve"> that these conventions and diagrams do </w:t>
      </w:r>
      <w:r w:rsidR="009B15D5" w:rsidRPr="00CF6020">
        <w:rPr>
          <w:b/>
          <w:i/>
        </w:rPr>
        <w:t>not</w:t>
      </w:r>
      <w:r w:rsidR="009B15D5">
        <w:t xml:space="preserve"> represent UML and carry no UML semantics.</w:t>
      </w:r>
    </w:p>
    <w:p w14:paraId="1F7DAB83" w14:textId="77777777" w:rsidR="00036EF5" w:rsidRDefault="00036EF5" w:rsidP="004E508A">
      <w:pPr>
        <w:pStyle w:val="OMGRevisedText"/>
        <w:keepNext/>
        <w:spacing w:before="240" w:after="120"/>
      </w:pPr>
      <w:r>
        <w:t>Revised Text:</w:t>
      </w:r>
    </w:p>
    <w:p w14:paraId="42562945" w14:textId="4D7D4721" w:rsidR="002D49B6" w:rsidRDefault="002D49B6" w:rsidP="00B31A38">
      <w:pPr>
        <w:pStyle w:val="BodyText"/>
        <w:keepNext/>
        <w:spacing w:before="240" w:after="0"/>
      </w:pPr>
      <w:r>
        <w:t xml:space="preserve">In clause 5 (pg. 10), </w:t>
      </w:r>
      <w:r w:rsidRPr="00B77DEB">
        <w:rPr>
          <w:b/>
          <w:u w:val="single"/>
        </w:rPr>
        <w:t>change</w:t>
      </w:r>
      <w:r>
        <w:t xml:space="preserve"> the second paragraph from:</w:t>
      </w:r>
    </w:p>
    <w:p w14:paraId="7E7A1288" w14:textId="34326D51" w:rsidR="002D49B6" w:rsidRPr="002D41B1" w:rsidRDefault="002D49B6" w:rsidP="00B31A38">
      <w:pPr>
        <w:keepNext/>
        <w:spacing w:before="0" w:after="0"/>
        <w:ind w:left="187"/>
      </w:pPr>
      <w:r w:rsidRPr="002D49B6">
        <w:t>Figures in Clauses 8 through 21 depict the SBVR XMI Metamodel using notational conventions described in Clause 23. For the purpose of visualizing vocabularies, Annex C describes a non-normative interpretation of those same figures and of figures in Annex G. Other non-normative notations used in Clauses 7 through 21 are explained in Annexes A and H.</w:t>
      </w:r>
    </w:p>
    <w:p w14:paraId="2C25DCC6" w14:textId="77777777" w:rsidR="002D49B6" w:rsidRDefault="002D49B6" w:rsidP="00B31A38">
      <w:pPr>
        <w:pStyle w:val="BodyText"/>
        <w:keepNext/>
        <w:spacing w:before="0" w:after="0"/>
      </w:pPr>
      <w:r>
        <w:t>to</w:t>
      </w:r>
    </w:p>
    <w:p w14:paraId="43936B06" w14:textId="08FB824D" w:rsidR="002D49B6" w:rsidRPr="002D41B1" w:rsidRDefault="002D49B6" w:rsidP="00B31A38">
      <w:pPr>
        <w:spacing w:before="0" w:after="120"/>
        <w:ind w:left="187"/>
      </w:pPr>
      <w:r w:rsidRPr="002D49B6">
        <w:t>For the purpose of visualizing SBVR vocabularies, Annex C describes a non-normative interpretation of the figures in Clauses 7</w:t>
      </w:r>
      <w:r w:rsidR="008306E7">
        <w:t>–</w:t>
      </w:r>
      <w:r w:rsidRPr="002D49B6">
        <w:t>21 and of figures in Annex G. Other non-normative notations used in Clauses 7 through 21 are explained in Annex A</w:t>
      </w:r>
      <w:r>
        <w:t>.</w:t>
      </w:r>
    </w:p>
    <w:p w14:paraId="165D9372" w14:textId="35F30143" w:rsidR="00672E13" w:rsidRDefault="00672E13" w:rsidP="00672E13">
      <w:pPr>
        <w:pStyle w:val="BodyText"/>
        <w:keepNext/>
        <w:spacing w:before="240" w:after="0"/>
      </w:pPr>
      <w:r>
        <w:t xml:space="preserve">In sub clause 6.1.1 (pg. 11), </w:t>
      </w:r>
      <w:r w:rsidRPr="00D44693">
        <w:rPr>
          <w:b/>
          <w:u w:val="single"/>
        </w:rPr>
        <w:t>add</w:t>
      </w:r>
      <w:r>
        <w:t xml:space="preserve"> this third bullet point to the list headed by the paragraph that begins "Good preparation for reading the specification…":</w:t>
      </w:r>
    </w:p>
    <w:p w14:paraId="1EEE47CB" w14:textId="5297E6BD" w:rsidR="00672E13" w:rsidRPr="002D41B1" w:rsidRDefault="008943A4" w:rsidP="00B31A38">
      <w:pPr>
        <w:pStyle w:val="ListParagraph"/>
        <w:numPr>
          <w:ilvl w:val="0"/>
          <w:numId w:val="30"/>
        </w:numPr>
        <w:spacing w:before="0" w:after="0"/>
      </w:pPr>
      <w:r>
        <w:t>Annex</w:t>
      </w:r>
      <w:r w:rsidRPr="008943A4">
        <w:rPr>
          <w:spacing w:val="-3"/>
        </w:rPr>
        <w:t xml:space="preserve"> </w:t>
      </w:r>
      <w:r>
        <w:t>C,</w:t>
      </w:r>
      <w:r w:rsidRPr="008943A4">
        <w:rPr>
          <w:spacing w:val="-3"/>
        </w:rPr>
        <w:t xml:space="preserve"> </w:t>
      </w:r>
      <w:proofErr w:type="gramStart"/>
      <w:r>
        <w:t>Use</w:t>
      </w:r>
      <w:proofErr w:type="gramEnd"/>
      <w:r w:rsidRPr="008943A4">
        <w:rPr>
          <w:spacing w:val="-3"/>
        </w:rPr>
        <w:t xml:space="preserve"> </w:t>
      </w:r>
      <w:r>
        <w:t>of</w:t>
      </w:r>
      <w:r w:rsidRPr="008943A4">
        <w:rPr>
          <w:spacing w:val="-4"/>
        </w:rPr>
        <w:t xml:space="preserve"> </w:t>
      </w:r>
      <w:r>
        <w:t>a business-friendly</w:t>
      </w:r>
      <w:r w:rsidRPr="008943A4">
        <w:rPr>
          <w:spacing w:val="-3"/>
        </w:rPr>
        <w:t xml:space="preserve"> </w:t>
      </w:r>
      <w:r>
        <w:t>notation</w:t>
      </w:r>
      <w:r w:rsidRPr="008943A4">
        <w:rPr>
          <w:spacing w:val="-3"/>
        </w:rPr>
        <w:t xml:space="preserve"> </w:t>
      </w:r>
      <w:r>
        <w:t>to visualize the connections between</w:t>
      </w:r>
      <w:r w:rsidRPr="008943A4">
        <w:rPr>
          <w:spacing w:val="-3"/>
        </w:rPr>
        <w:t xml:space="preserve"> </w:t>
      </w:r>
      <w:r>
        <w:t>SBVR</w:t>
      </w:r>
      <w:r w:rsidRPr="008943A4">
        <w:rPr>
          <w:spacing w:val="-3"/>
        </w:rPr>
        <w:t xml:space="preserve"> </w:t>
      </w:r>
      <w:r>
        <w:t>Vocabularies entries.</w:t>
      </w:r>
    </w:p>
    <w:p w14:paraId="16630979" w14:textId="579D6DEE" w:rsidR="00D44693" w:rsidRDefault="00D44693" w:rsidP="00D44693">
      <w:pPr>
        <w:pStyle w:val="BodyText"/>
        <w:keepNext/>
        <w:spacing w:before="240" w:after="0"/>
      </w:pPr>
      <w:r>
        <w:t xml:space="preserve">In sub clause 6.1.1 (pg. 11), </w:t>
      </w:r>
      <w:r w:rsidRPr="00D44693">
        <w:rPr>
          <w:b/>
          <w:u w:val="single"/>
        </w:rPr>
        <w:t>delete</w:t>
      </w:r>
      <w:r>
        <w:t xml:space="preserve"> the fourth bullet point from the list headed by the paragraph that begins "</w:t>
      </w:r>
      <w:r w:rsidRPr="00D44693">
        <w:t>General</w:t>
      </w:r>
      <w:r w:rsidRPr="00D44693">
        <w:rPr>
          <w:spacing w:val="16"/>
        </w:rPr>
        <w:t xml:space="preserve"> </w:t>
      </w:r>
      <w:r w:rsidRPr="00D44693">
        <w:t>practitioners</w:t>
      </w:r>
      <w:r w:rsidRPr="00D44693">
        <w:rPr>
          <w:spacing w:val="17"/>
        </w:rPr>
        <w:t xml:space="preserve"> </w:t>
      </w:r>
      <w:r w:rsidRPr="00D44693">
        <w:t>will</w:t>
      </w:r>
      <w:r w:rsidRPr="00D44693">
        <w:rPr>
          <w:spacing w:val="16"/>
        </w:rPr>
        <w:t xml:space="preserve"> </w:t>
      </w:r>
      <w:r w:rsidRPr="00D44693">
        <w:t>find</w:t>
      </w:r>
      <w:r>
        <w:t>…".</w:t>
      </w:r>
    </w:p>
    <w:p w14:paraId="47ACFFEA" w14:textId="3D2F537D" w:rsidR="00D44693" w:rsidRDefault="00D44693" w:rsidP="00D44693">
      <w:pPr>
        <w:pStyle w:val="BodyText"/>
        <w:keepNext/>
        <w:spacing w:before="240" w:after="0"/>
      </w:pPr>
      <w:r>
        <w:t xml:space="preserve">In clause 23, </w:t>
      </w:r>
      <w:r w:rsidRPr="00B77DEB">
        <w:rPr>
          <w:b/>
          <w:u w:val="single"/>
        </w:rPr>
        <w:t>change</w:t>
      </w:r>
      <w:r>
        <w:t xml:space="preserve"> according to the changed-tracked attachment:</w:t>
      </w:r>
      <w:r w:rsidR="005A6DB0">
        <w:br/>
        <w:t xml:space="preserve">      </w:t>
      </w:r>
      <w:proofErr w:type="gramStart"/>
      <w:r w:rsidR="005A6DB0">
        <w:t xml:space="preserve">   “</w:t>
      </w:r>
      <w:proofErr w:type="gramEnd"/>
      <w:r w:rsidR="005A6DB0" w:rsidRPr="005A6DB0">
        <w:t>Changes to SBVR v1.4 Clause 23 that are Part of SBVR Issue 15-08 Resolution.docx</w:t>
      </w:r>
      <w:r w:rsidR="005A6DB0">
        <w:t>”</w:t>
      </w:r>
      <w:bookmarkStart w:id="5" w:name="_GoBack"/>
      <w:bookmarkEnd w:id="5"/>
    </w:p>
    <w:p w14:paraId="4FF0BDD3" w14:textId="0D1037D8" w:rsidR="00E005DF" w:rsidRDefault="00E005DF" w:rsidP="00B31A38">
      <w:pPr>
        <w:pStyle w:val="BodyText"/>
        <w:keepNext/>
        <w:spacing w:before="240" w:after="0"/>
      </w:pPr>
      <w:r>
        <w:t xml:space="preserve">In clauses 8-21, </w:t>
      </w:r>
      <w:r w:rsidRPr="00B77DEB">
        <w:rPr>
          <w:b/>
          <w:u w:val="single"/>
        </w:rPr>
        <w:t>change</w:t>
      </w:r>
      <w:r>
        <w:t xml:space="preserve"> the annotation line following every figure caption from:</w:t>
      </w:r>
    </w:p>
    <w:p w14:paraId="61AF25D6" w14:textId="56E3EFF7" w:rsidR="00E005DF" w:rsidRPr="002D41B1" w:rsidRDefault="00E005DF" w:rsidP="00B31A38">
      <w:pPr>
        <w:keepNext/>
        <w:spacing w:before="0" w:after="0"/>
        <w:ind w:left="187"/>
      </w:pPr>
      <w:r w:rsidRPr="00E005DF">
        <w:t>This diagram shows the SBVR XMI Metamodel and SBVR vocabulary by two different interpretations. See Clause 13 and Annex C.</w:t>
      </w:r>
    </w:p>
    <w:p w14:paraId="174B68F2" w14:textId="77777777" w:rsidR="00E005DF" w:rsidRDefault="00E005DF" w:rsidP="00B31A38">
      <w:pPr>
        <w:pStyle w:val="BodyText"/>
        <w:keepNext/>
        <w:spacing w:before="0" w:after="0"/>
      </w:pPr>
      <w:r>
        <w:t>to</w:t>
      </w:r>
    </w:p>
    <w:p w14:paraId="4305DC76" w14:textId="62A0F08F" w:rsidR="00E005DF" w:rsidRPr="002D41B1" w:rsidRDefault="00E005DF" w:rsidP="00B31A38">
      <w:pPr>
        <w:spacing w:before="0" w:after="120"/>
        <w:ind w:left="187"/>
      </w:pPr>
      <w:r w:rsidRPr="00E005DF">
        <w:t xml:space="preserve">This </w:t>
      </w:r>
      <w:r w:rsidR="005825E4" w:rsidRPr="005825E4">
        <w:t>diagram shows the SBVR terminological entries of this sub</w:t>
      </w:r>
      <w:r w:rsidR="005825E4">
        <w:t xml:space="preserve"> clause as explained in Annex C</w:t>
      </w:r>
      <w:r w:rsidRPr="00E005DF">
        <w:t>.</w:t>
      </w:r>
    </w:p>
    <w:p w14:paraId="11DAB392" w14:textId="41175114" w:rsidR="00B77DEB" w:rsidRDefault="00B77DEB" w:rsidP="00B31A38">
      <w:pPr>
        <w:pStyle w:val="BodyText"/>
        <w:keepNext/>
        <w:spacing w:before="240" w:after="0"/>
      </w:pPr>
      <w:r>
        <w:t xml:space="preserve">In clauses 8-21, </w:t>
      </w:r>
      <w:r>
        <w:rPr>
          <w:b/>
          <w:u w:val="single"/>
        </w:rPr>
        <w:t>replace</w:t>
      </w:r>
      <w:r>
        <w:t xml:space="preserve"> the following</w:t>
      </w:r>
      <w:r w:rsidR="00EA2B35">
        <w:t xml:space="preserve"> 34</w:t>
      </w:r>
      <w:r>
        <w:t xml:space="preserve"> diagrams with the images in the attached</w:t>
      </w:r>
      <w:r w:rsidR="00744A9B">
        <w:t xml:space="preserve"> zip file</w:t>
      </w:r>
      <w:r>
        <w:t>:</w:t>
      </w:r>
    </w:p>
    <w:p w14:paraId="3454FAA8" w14:textId="3CA6B11F" w:rsidR="00744A9B" w:rsidRDefault="00EA2B35" w:rsidP="00B31A38">
      <w:pPr>
        <w:pStyle w:val="BodyText"/>
        <w:keepNext/>
        <w:spacing w:before="0" w:after="120"/>
        <w:ind w:left="360"/>
        <w:rPr>
          <w:highlight w:val="yellow"/>
        </w:rPr>
      </w:pPr>
      <w:r w:rsidRPr="00EA2B35">
        <w:t>SBVR 1.5 PNGs.zip</w:t>
      </w:r>
    </w:p>
    <w:p w14:paraId="229E8A14" w14:textId="47275AE0" w:rsidR="00744A9B" w:rsidRDefault="00EA2B35" w:rsidP="00660D36">
      <w:pPr>
        <w:pStyle w:val="BodyText"/>
        <w:keepNext/>
        <w:numPr>
          <w:ilvl w:val="0"/>
          <w:numId w:val="32"/>
        </w:numPr>
        <w:spacing w:before="0" w:after="0"/>
      </w:pPr>
      <w:r>
        <w:t>8.3</w:t>
      </w:r>
    </w:p>
    <w:p w14:paraId="223E513E" w14:textId="72A9BBF0" w:rsidR="00C87855" w:rsidRDefault="00EA2B35" w:rsidP="00660D36">
      <w:pPr>
        <w:pStyle w:val="BodyText"/>
        <w:keepNext/>
        <w:numPr>
          <w:ilvl w:val="0"/>
          <w:numId w:val="32"/>
        </w:numPr>
        <w:spacing w:before="0" w:after="0"/>
      </w:pPr>
      <w:r>
        <w:t>8.8</w:t>
      </w:r>
    </w:p>
    <w:p w14:paraId="4BBF7EEE" w14:textId="1CB152C4" w:rsidR="00C8785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8.9</w:t>
      </w:r>
    </w:p>
    <w:p w14:paraId="0F390BD8" w14:textId="5962B3EA" w:rsidR="00C8785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8.11</w:t>
      </w:r>
    </w:p>
    <w:p w14:paraId="1A8825DA" w14:textId="090EED69" w:rsidR="00C8785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8.12</w:t>
      </w:r>
    </w:p>
    <w:p w14:paraId="3189A86B" w14:textId="238417D7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9.1</w:t>
      </w:r>
    </w:p>
    <w:p w14:paraId="1CB69523" w14:textId="364F7092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11.1</w:t>
      </w:r>
    </w:p>
    <w:p w14:paraId="1D934875" w14:textId="7474D994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11.2</w:t>
      </w:r>
    </w:p>
    <w:p w14:paraId="209E5022" w14:textId="46CC419B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11.3</w:t>
      </w:r>
    </w:p>
    <w:p w14:paraId="41CBE991" w14:textId="35D4D5B5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12.1</w:t>
      </w:r>
    </w:p>
    <w:p w14:paraId="24FDC0A9" w14:textId="09865E1B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12.4</w:t>
      </w:r>
    </w:p>
    <w:p w14:paraId="368E3B51" w14:textId="3F0D94EE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12.8</w:t>
      </w:r>
    </w:p>
    <w:p w14:paraId="02D4F6D2" w14:textId="2263247A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lastRenderedPageBreak/>
        <w:t>12.10</w:t>
      </w:r>
    </w:p>
    <w:p w14:paraId="0717429D" w14:textId="215DFA21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13.1</w:t>
      </w:r>
    </w:p>
    <w:p w14:paraId="507B32F0" w14:textId="2CDED9AF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14.3</w:t>
      </w:r>
    </w:p>
    <w:p w14:paraId="2D518EC5" w14:textId="6AE3F7FC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14.4</w:t>
      </w:r>
    </w:p>
    <w:p w14:paraId="7C51D84D" w14:textId="03A31A06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14.6</w:t>
      </w:r>
    </w:p>
    <w:p w14:paraId="46AD5BAF" w14:textId="219A8059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14.10</w:t>
      </w:r>
    </w:p>
    <w:p w14:paraId="232A1CAB" w14:textId="473DD3E9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15.1</w:t>
      </w:r>
    </w:p>
    <w:p w14:paraId="3F3AA0F6" w14:textId="12B5734D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16.1</w:t>
      </w:r>
    </w:p>
    <w:p w14:paraId="29F7639E" w14:textId="00E24FBC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18.1</w:t>
      </w:r>
    </w:p>
    <w:p w14:paraId="56150EB6" w14:textId="42B015A0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19.1</w:t>
      </w:r>
    </w:p>
    <w:p w14:paraId="05199D31" w14:textId="77B263D4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19.2</w:t>
      </w:r>
    </w:p>
    <w:p w14:paraId="783A82A1" w14:textId="2A72C574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19.3</w:t>
      </w:r>
    </w:p>
    <w:p w14:paraId="11ACBA46" w14:textId="7C46ED4F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19.4</w:t>
      </w:r>
    </w:p>
    <w:p w14:paraId="100DCB8F" w14:textId="66CD60CC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19.5</w:t>
      </w:r>
    </w:p>
    <w:p w14:paraId="480AF106" w14:textId="673AE9EF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19.6</w:t>
      </w:r>
    </w:p>
    <w:p w14:paraId="70076858" w14:textId="18EE2C11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19.7</w:t>
      </w:r>
    </w:p>
    <w:p w14:paraId="5A2D5A4D" w14:textId="74BF16B6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20.1</w:t>
      </w:r>
    </w:p>
    <w:p w14:paraId="041D57D4" w14:textId="1814AA2E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20.2</w:t>
      </w:r>
    </w:p>
    <w:p w14:paraId="61D734E2" w14:textId="5B358152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21.3</w:t>
      </w:r>
    </w:p>
    <w:p w14:paraId="6BD165A6" w14:textId="0DE84D6F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21.7</w:t>
      </w:r>
    </w:p>
    <w:p w14:paraId="2EAF15E9" w14:textId="31720055" w:rsidR="00EA2B35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21.8</w:t>
      </w:r>
    </w:p>
    <w:p w14:paraId="23EF613C" w14:textId="7D8385EE" w:rsidR="00EA2B35" w:rsidRPr="00744A9B" w:rsidRDefault="00EA2B35" w:rsidP="00660D36">
      <w:pPr>
        <w:pStyle w:val="BodyText"/>
        <w:numPr>
          <w:ilvl w:val="0"/>
          <w:numId w:val="32"/>
        </w:numPr>
        <w:spacing w:before="0" w:after="0"/>
      </w:pPr>
      <w:r>
        <w:t>21.12</w:t>
      </w:r>
    </w:p>
    <w:p w14:paraId="532F1385" w14:textId="46715E07" w:rsidR="00867D36" w:rsidRDefault="00FF63B9" w:rsidP="00B31A38">
      <w:pPr>
        <w:pStyle w:val="BodyText"/>
        <w:keepNext/>
        <w:spacing w:before="240" w:after="0"/>
      </w:pPr>
      <w:r w:rsidRPr="00B77DEB">
        <w:rPr>
          <w:b/>
          <w:u w:val="single"/>
        </w:rPr>
        <w:t>Replace</w:t>
      </w:r>
      <w:r w:rsidR="00867D36">
        <w:t xml:space="preserve"> Annex C </w:t>
      </w:r>
      <w:r>
        <w:t>with the revised source</w:t>
      </w:r>
      <w:r w:rsidR="00867D36">
        <w:t>:</w:t>
      </w:r>
    </w:p>
    <w:p w14:paraId="06310EB5" w14:textId="6A20726D" w:rsidR="00FF63B9" w:rsidRDefault="00FF63B9" w:rsidP="00B31A38">
      <w:pPr>
        <w:pStyle w:val="BodyText"/>
        <w:numPr>
          <w:ilvl w:val="0"/>
          <w:numId w:val="29"/>
        </w:numPr>
        <w:spacing w:before="0" w:after="120"/>
      </w:pPr>
      <w:r w:rsidRPr="00FF63B9">
        <w:t>SBVR 1.4 Annex C (190509).docx</w:t>
      </w:r>
    </w:p>
    <w:p w14:paraId="2514ED25" w14:textId="68157AA2" w:rsidR="00FF63B9" w:rsidRDefault="00FF63B9" w:rsidP="00867D36">
      <w:pPr>
        <w:pStyle w:val="BodyText"/>
        <w:keepNext/>
        <w:spacing w:before="240" w:after="0"/>
      </w:pPr>
      <w:r>
        <w:t>The change-tracked history is provided as audit trail:</w:t>
      </w:r>
    </w:p>
    <w:p w14:paraId="54D8DCA8" w14:textId="77777777" w:rsidR="00FF63B9" w:rsidRDefault="00FF63B9" w:rsidP="00B31A38">
      <w:pPr>
        <w:pStyle w:val="BodyText"/>
        <w:numPr>
          <w:ilvl w:val="0"/>
          <w:numId w:val="29"/>
        </w:numPr>
        <w:spacing w:before="0" w:after="120"/>
      </w:pPr>
      <w:r w:rsidRPr="00FF63B9">
        <w:t>SBVR 1.4 Annex C (</w:t>
      </w:r>
      <w:proofErr w:type="gramStart"/>
      <w:r w:rsidRPr="00FF63B9">
        <w:t>190509)-CT.docx</w:t>
      </w:r>
      <w:proofErr w:type="gramEnd"/>
    </w:p>
    <w:p w14:paraId="5087768D" w14:textId="77777777" w:rsidR="00036EF5" w:rsidRDefault="00036EF5" w:rsidP="00E75BBD">
      <w:pPr>
        <w:pStyle w:val="OMGDisposition"/>
        <w:spacing w:before="240" w:after="120"/>
      </w:pPr>
      <w:r>
        <w:t>Disposition:</w:t>
      </w:r>
      <w:r>
        <w:tab/>
        <w:t>Resolved</w:t>
      </w:r>
    </w:p>
    <w:sectPr w:rsidR="00036EF5" w:rsidSect="00036EF5">
      <w:headerReference w:type="default" r:id="rId8"/>
      <w:footerReference w:type="even" r:id="rId9"/>
      <w:footerReference w:type="default" r:id="rId10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  <wne:keymap wne:kcmPrimary="1142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OAGUAYwBlAHMAcwBpAHQAeQA=" wne:acdName="acd0" wne:fciIndexBasedOn="0065"/>
    <wne:acd wne:argValue="AgBQAG8AcwBzAGkAYgBpAGwAaQB0AHkA" wne:acdName="acd1" wne:fciIndexBasedOn="0065"/>
    <wne:acd wne:argValue="AQAAAEI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2B5FB" w14:textId="77777777" w:rsidR="00DA3389" w:rsidRDefault="00DA3389">
      <w:r>
        <w:separator/>
      </w:r>
    </w:p>
  </w:endnote>
  <w:endnote w:type="continuationSeparator" w:id="0">
    <w:p w14:paraId="3F28AB62" w14:textId="77777777" w:rsidR="00DA3389" w:rsidRDefault="00DA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CED63" w14:textId="77777777" w:rsidR="00B77DEB" w:rsidRPr="008B78E0" w:rsidRDefault="00B77D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D1BE07A" w14:textId="77777777" w:rsidR="00B77DEB" w:rsidRPr="008B78E0" w:rsidRDefault="00B77DEB">
    <w:pPr>
      <w:ind w:right="360"/>
    </w:pPr>
  </w:p>
  <w:p w14:paraId="317FAFA4" w14:textId="77777777" w:rsidR="00B77DEB" w:rsidRPr="008B78E0" w:rsidRDefault="00B77DEB">
    <w:pPr>
      <w:ind w:right="360"/>
    </w:pPr>
  </w:p>
  <w:p w14:paraId="0A820238" w14:textId="77777777" w:rsidR="00B77DEB" w:rsidRPr="008B78E0" w:rsidRDefault="00B77DEB">
    <w:pPr>
      <w:ind w:right="360"/>
    </w:pPr>
  </w:p>
  <w:p w14:paraId="389BD771" w14:textId="77777777" w:rsidR="00B77DEB" w:rsidRPr="008B78E0" w:rsidRDefault="00B77DEB">
    <w:pPr>
      <w:ind w:right="360"/>
    </w:pPr>
  </w:p>
  <w:p w14:paraId="4DA4CD43" w14:textId="77777777" w:rsidR="00B77DEB" w:rsidRPr="008B78E0" w:rsidRDefault="00B77DEB">
    <w:pPr>
      <w:ind w:right="360"/>
    </w:pPr>
  </w:p>
  <w:p w14:paraId="46635A8E" w14:textId="77777777" w:rsidR="00B77DEB" w:rsidRPr="009E5560" w:rsidRDefault="00B77DEB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31D1" w14:textId="77777777" w:rsidR="00B77DEB" w:rsidRPr="008B78E0" w:rsidRDefault="00B77DEB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SBVR-Issue-15-08 19680 - The use of UML described in the Annex does not represent any known UML tool... (190511).docx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660D36">
      <w:rPr>
        <w:rStyle w:val="PageNumber"/>
        <w:noProof/>
        <w:sz w:val="18"/>
        <w:szCs w:val="18"/>
      </w:rPr>
      <w:t>2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660D36">
      <w:rPr>
        <w:rStyle w:val="PageNumber"/>
        <w:noProof/>
        <w:sz w:val="18"/>
        <w:szCs w:val="18"/>
      </w:rPr>
      <w:t>3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5865068D" w14:textId="77777777" w:rsidR="00B77DEB" w:rsidRPr="00493F44" w:rsidRDefault="00B77DEB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391AD" w14:textId="77777777" w:rsidR="00DA3389" w:rsidRDefault="00DA3389">
      <w:r>
        <w:separator/>
      </w:r>
    </w:p>
  </w:footnote>
  <w:footnote w:type="continuationSeparator" w:id="0">
    <w:p w14:paraId="0F313F23" w14:textId="77777777" w:rsidR="00DA3389" w:rsidRDefault="00DA3389">
      <w:r>
        <w:continuationSeparator/>
      </w:r>
    </w:p>
  </w:footnote>
  <w:footnote w:id="1">
    <w:p w14:paraId="6322B921" w14:textId="0E453055" w:rsidR="00B77DEB" w:rsidRDefault="00B77DEB">
      <w:pPr>
        <w:pStyle w:val="FootnoteText"/>
      </w:pPr>
      <w:r>
        <w:rPr>
          <w:rStyle w:val="FootnoteReference"/>
        </w:rPr>
        <w:footnoteRef/>
      </w:r>
      <w:r>
        <w:t xml:space="preserve"> This refers to Annex C in SBVR 1.4</w:t>
      </w:r>
    </w:p>
  </w:footnote>
  <w:footnote w:id="2">
    <w:p w14:paraId="18BE93E4" w14:textId="0927F97F" w:rsidR="00B77DEB" w:rsidRDefault="00B77DEB">
      <w:pPr>
        <w:pStyle w:val="FootnoteText"/>
      </w:pPr>
      <w:r>
        <w:rPr>
          <w:rStyle w:val="FootnoteReference"/>
        </w:rPr>
        <w:footnoteRef/>
      </w:r>
      <w:r>
        <w:t xml:space="preserve"> Figure C.3, not 6.3</w:t>
      </w:r>
    </w:p>
  </w:footnote>
  <w:footnote w:id="3">
    <w:p w14:paraId="237DEBB8" w14:textId="2B37A305" w:rsidR="00B77DEB" w:rsidRDefault="00B77DEB">
      <w:pPr>
        <w:pStyle w:val="FootnoteText"/>
      </w:pPr>
      <w:r>
        <w:rPr>
          <w:rStyle w:val="FootnoteReference"/>
        </w:rPr>
        <w:footnoteRef/>
      </w:r>
      <w:r>
        <w:t xml:space="preserve"> Figure C.4, not 6.4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6570"/>
    </w:tblGrid>
    <w:tr w:rsidR="00B77DEB" w14:paraId="36B9CEA2" w14:textId="77777777" w:rsidTr="00212743">
      <w:tc>
        <w:tcPr>
          <w:tcW w:w="3978" w:type="dxa"/>
        </w:tcPr>
        <w:p w14:paraId="1ACF959D" w14:textId="77777777" w:rsidR="00B77DEB" w:rsidRPr="00344AEE" w:rsidRDefault="00B77DEB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>
            <w:rPr>
              <w:rFonts w:ascii="Arial" w:hAnsi="Arial"/>
            </w:rPr>
            <w:t>BVR RTF 1.5</w:t>
          </w:r>
        </w:p>
        <w:p w14:paraId="28AB6DCC" w14:textId="77777777" w:rsidR="00B77DEB" w:rsidRDefault="00B77DEB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6570" w:type="dxa"/>
        </w:tcPr>
        <w:p w14:paraId="539FE2B5" w14:textId="206DB5B6" w:rsidR="00B77DEB" w:rsidRDefault="00B77DEB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5A6DB0">
            <w:rPr>
              <w:rFonts w:ascii="Arial" w:hAnsi="Arial"/>
              <w:b/>
              <w:noProof/>
            </w:rPr>
            <w:t>Disposition:  Resolved</w:t>
          </w:r>
          <w:r>
            <w:rPr>
              <w:rFonts w:ascii="Arial" w:hAnsi="Arial"/>
              <w:b/>
            </w:rPr>
            <w:fldChar w:fldCharType="end"/>
          </w:r>
        </w:p>
        <w:p w14:paraId="37C90B0D" w14:textId="6CA46E5D" w:rsidR="00B77DEB" w:rsidRDefault="00B77DEB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5A6DB0">
            <w:rPr>
              <w:rFonts w:ascii="Arial" w:hAnsi="Arial"/>
              <w:noProof/>
            </w:rPr>
            <w:t>OMG Issue No:  SBVR 15-08</w:t>
          </w:r>
          <w:r>
            <w:rPr>
              <w:rFonts w:ascii="Arial" w:hAnsi="Arial"/>
            </w:rPr>
            <w:fldChar w:fldCharType="end"/>
          </w:r>
        </w:p>
      </w:tc>
    </w:tr>
  </w:tbl>
  <w:p w14:paraId="52B5A674" w14:textId="77777777" w:rsidR="00B77DEB" w:rsidRPr="00344AEE" w:rsidRDefault="00B77DEB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7E1"/>
    <w:multiLevelType w:val="multilevel"/>
    <w:tmpl w:val="DF766DCC"/>
    <w:lvl w:ilvl="0">
      <w:start w:val="1"/>
      <w:numFmt w:val="none"/>
      <w:pStyle w:val="Heading4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 w15:restartNumberingAfterBreak="0">
    <w:nsid w:val="090B20D3"/>
    <w:multiLevelType w:val="hybridMultilevel"/>
    <w:tmpl w:val="F0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2CD"/>
    <w:multiLevelType w:val="hybridMultilevel"/>
    <w:tmpl w:val="EE1C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6B76"/>
    <w:multiLevelType w:val="multilevel"/>
    <w:tmpl w:val="FDB6BF80"/>
    <w:lvl w:ilvl="0">
      <w:start w:val="1"/>
      <w:numFmt w:val="none"/>
      <w:pStyle w:val="Source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 w15:restartNumberingAfterBreak="0">
    <w:nsid w:val="0CBE04EF"/>
    <w:multiLevelType w:val="hybridMultilevel"/>
    <w:tmpl w:val="D5501F3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 w15:restartNumberingAfterBreak="0">
    <w:nsid w:val="19E64343"/>
    <w:multiLevelType w:val="multilevel"/>
    <w:tmpl w:val="5C06C47A"/>
    <w:lvl w:ilvl="0">
      <w:start w:val="1"/>
      <w:numFmt w:val="none"/>
      <w:pStyle w:val="Example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7" w15:restartNumberingAfterBreak="0">
    <w:nsid w:val="23FE7157"/>
    <w:multiLevelType w:val="multilevel"/>
    <w:tmpl w:val="6F0A3FB8"/>
    <w:lvl w:ilvl="0">
      <w:start w:val="1"/>
      <w:numFmt w:val="none"/>
      <w:pStyle w:val="ConceptType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8" w15:restartNumberingAfterBreak="0">
    <w:nsid w:val="26C467EF"/>
    <w:multiLevelType w:val="multilevel"/>
    <w:tmpl w:val="8496E014"/>
    <w:lvl w:ilvl="0">
      <w:start w:val="1"/>
      <w:numFmt w:val="none"/>
      <w:pStyle w:val="ReferenceScheme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9" w15:restartNumberingAfterBreak="0">
    <w:nsid w:val="287B30BE"/>
    <w:multiLevelType w:val="hybridMultilevel"/>
    <w:tmpl w:val="6C800C5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2922451D"/>
    <w:multiLevelType w:val="multilevel"/>
    <w:tmpl w:val="AF8E82BA"/>
    <w:lvl w:ilvl="0">
      <w:start w:val="1"/>
      <w:numFmt w:val="none"/>
      <w:pStyle w:val="URI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11" w15:restartNumberingAfterBreak="0">
    <w:nsid w:val="2E257AF6"/>
    <w:multiLevelType w:val="multilevel"/>
    <w:tmpl w:val="AC0E23EC"/>
    <w:lvl w:ilvl="0">
      <w:start w:val="1"/>
      <w:numFmt w:val="none"/>
      <w:pStyle w:val="Synonym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12" w15:restartNumberingAfterBreak="0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3" w15:restartNumberingAfterBreak="0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4" w15:restartNumberingAfterBreak="0">
    <w:nsid w:val="37335CD4"/>
    <w:multiLevelType w:val="multilevel"/>
    <w:tmpl w:val="5D38BDE2"/>
    <w:lvl w:ilvl="0">
      <w:start w:val="1"/>
      <w:numFmt w:val="none"/>
      <w:pStyle w:val="GeneralConcept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5" w15:restartNumberingAfterBreak="0">
    <w:nsid w:val="37393C7A"/>
    <w:multiLevelType w:val="hybridMultilevel"/>
    <w:tmpl w:val="B85A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7" w15:restartNumberingAfterBreak="0">
    <w:nsid w:val="3F903902"/>
    <w:multiLevelType w:val="multilevel"/>
    <w:tmpl w:val="D34E0166"/>
    <w:lvl w:ilvl="0">
      <w:start w:val="1"/>
      <w:numFmt w:val="none"/>
      <w:pStyle w:val="Languag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9" w15:restartNumberingAfterBreak="0">
    <w:nsid w:val="4A9028BB"/>
    <w:multiLevelType w:val="hybridMultilevel"/>
    <w:tmpl w:val="7CA4058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C0754"/>
    <w:multiLevelType w:val="multilevel"/>
    <w:tmpl w:val="245C5E50"/>
    <w:lvl w:ilvl="0">
      <w:start w:val="1"/>
      <w:numFmt w:val="none"/>
      <w:pStyle w:val="SpeechCommunity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D462BBD"/>
    <w:multiLevelType w:val="multilevel"/>
    <w:tmpl w:val="837EEA6E"/>
    <w:lvl w:ilvl="0">
      <w:start w:val="1"/>
      <w:numFmt w:val="none"/>
      <w:pStyle w:val="Name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2" w15:restartNumberingAfterBreak="0">
    <w:nsid w:val="552D5493"/>
    <w:multiLevelType w:val="multilevel"/>
    <w:tmpl w:val="094AC55A"/>
    <w:lvl w:ilvl="0">
      <w:start w:val="1"/>
      <w:numFmt w:val="none"/>
      <w:pStyle w:val="SymbolTyp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24" w15:restartNumberingAfterBreak="0">
    <w:nsid w:val="5BCE3407"/>
    <w:multiLevelType w:val="multilevel"/>
    <w:tmpl w:val="820EFBA0"/>
    <w:lvl w:ilvl="0">
      <w:start w:val="1"/>
      <w:numFmt w:val="none"/>
      <w:pStyle w:val="Necessity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EA35958"/>
    <w:multiLevelType w:val="multilevel"/>
    <w:tmpl w:val="A7C47E46"/>
    <w:lvl w:ilvl="0">
      <w:start w:val="1"/>
      <w:numFmt w:val="none"/>
      <w:pStyle w:val="DictionaryBasis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6" w15:restartNumberingAfterBreak="0">
    <w:nsid w:val="688C0B36"/>
    <w:multiLevelType w:val="multilevel"/>
    <w:tmpl w:val="6C5EE6F8"/>
    <w:lvl w:ilvl="0">
      <w:start w:val="1"/>
      <w:numFmt w:val="none"/>
      <w:pStyle w:val="Vocabulary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6CEF6DDC"/>
    <w:multiLevelType w:val="multilevel"/>
    <w:tmpl w:val="A39E66E4"/>
    <w:lvl w:ilvl="0">
      <w:start w:val="1"/>
      <w:numFmt w:val="none"/>
      <w:pStyle w:val="Qualifier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8" w15:restartNumberingAfterBreak="0">
    <w:nsid w:val="6D6809D1"/>
    <w:multiLevelType w:val="multilevel"/>
    <w:tmpl w:val="12662F38"/>
    <w:lvl w:ilvl="0">
      <w:start w:val="1"/>
      <w:numFmt w:val="none"/>
      <w:pStyle w:val="Possibility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30" w15:restartNumberingAfterBreak="0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31" w15:restartNumberingAfterBreak="0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0"/>
  </w:num>
  <w:num w:numId="5">
    <w:abstractNumId w:val="23"/>
  </w:num>
  <w:num w:numId="6">
    <w:abstractNumId w:val="21"/>
  </w:num>
  <w:num w:numId="7">
    <w:abstractNumId w:val="3"/>
  </w:num>
  <w:num w:numId="8">
    <w:abstractNumId w:val="27"/>
  </w:num>
  <w:num w:numId="9">
    <w:abstractNumId w:val="18"/>
  </w:num>
  <w:num w:numId="10">
    <w:abstractNumId w:val="25"/>
  </w:num>
  <w:num w:numId="11">
    <w:abstractNumId w:val="24"/>
  </w:num>
  <w:num w:numId="12">
    <w:abstractNumId w:val="14"/>
  </w:num>
  <w:num w:numId="13">
    <w:abstractNumId w:val="6"/>
  </w:num>
  <w:num w:numId="14">
    <w:abstractNumId w:val="20"/>
  </w:num>
  <w:num w:numId="15">
    <w:abstractNumId w:val="17"/>
  </w:num>
  <w:num w:numId="16">
    <w:abstractNumId w:val="22"/>
  </w:num>
  <w:num w:numId="17">
    <w:abstractNumId w:val="26"/>
  </w:num>
  <w:num w:numId="18">
    <w:abstractNumId w:val="5"/>
  </w:num>
  <w:num w:numId="19">
    <w:abstractNumId w:val="10"/>
  </w:num>
  <w:num w:numId="20">
    <w:abstractNumId w:val="11"/>
  </w:num>
  <w:num w:numId="21">
    <w:abstractNumId w:val="7"/>
  </w:num>
  <w:num w:numId="22">
    <w:abstractNumId w:val="30"/>
  </w:num>
  <w:num w:numId="23">
    <w:abstractNumId w:val="29"/>
  </w:num>
  <w:num w:numId="24">
    <w:abstractNumId w:val="28"/>
  </w:num>
  <w:num w:numId="25">
    <w:abstractNumId w:val="31"/>
  </w:num>
  <w:num w:numId="26">
    <w:abstractNumId w:val="13"/>
  </w:num>
  <w:num w:numId="27">
    <w:abstractNumId w:val="15"/>
  </w:num>
  <w:num w:numId="28">
    <w:abstractNumId w:val="4"/>
  </w:num>
  <w:num w:numId="29">
    <w:abstractNumId w:val="2"/>
  </w:num>
  <w:num w:numId="30">
    <w:abstractNumId w:val="9"/>
  </w:num>
  <w:num w:numId="31">
    <w:abstractNumId w:val="1"/>
  </w:num>
  <w:num w:numId="32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ED2"/>
    <w:rsid w:val="00036EF5"/>
    <w:rsid w:val="00056292"/>
    <w:rsid w:val="00087961"/>
    <w:rsid w:val="000D4235"/>
    <w:rsid w:val="001034C9"/>
    <w:rsid w:val="00150F51"/>
    <w:rsid w:val="001B7EA6"/>
    <w:rsid w:val="001C4815"/>
    <w:rsid w:val="00212743"/>
    <w:rsid w:val="00221801"/>
    <w:rsid w:val="00223804"/>
    <w:rsid w:val="002246CF"/>
    <w:rsid w:val="00245ED2"/>
    <w:rsid w:val="002504C7"/>
    <w:rsid w:val="002D49B6"/>
    <w:rsid w:val="002E547A"/>
    <w:rsid w:val="00314C5F"/>
    <w:rsid w:val="003211F9"/>
    <w:rsid w:val="00386762"/>
    <w:rsid w:val="003B6F48"/>
    <w:rsid w:val="00434221"/>
    <w:rsid w:val="00434440"/>
    <w:rsid w:val="00435C06"/>
    <w:rsid w:val="00447157"/>
    <w:rsid w:val="0047273E"/>
    <w:rsid w:val="004E05F9"/>
    <w:rsid w:val="004E508A"/>
    <w:rsid w:val="004E7B7F"/>
    <w:rsid w:val="00517A3A"/>
    <w:rsid w:val="005318B3"/>
    <w:rsid w:val="00565872"/>
    <w:rsid w:val="00577B0F"/>
    <w:rsid w:val="00581943"/>
    <w:rsid w:val="005825E4"/>
    <w:rsid w:val="005828F4"/>
    <w:rsid w:val="005A0D10"/>
    <w:rsid w:val="005A3F91"/>
    <w:rsid w:val="005A6DB0"/>
    <w:rsid w:val="005A7225"/>
    <w:rsid w:val="005C1AF0"/>
    <w:rsid w:val="005C49CE"/>
    <w:rsid w:val="005E2A9A"/>
    <w:rsid w:val="00612287"/>
    <w:rsid w:val="00660D36"/>
    <w:rsid w:val="00672E13"/>
    <w:rsid w:val="006839D5"/>
    <w:rsid w:val="00687A19"/>
    <w:rsid w:val="006C1EDE"/>
    <w:rsid w:val="006D10BA"/>
    <w:rsid w:val="007024B8"/>
    <w:rsid w:val="00715C8B"/>
    <w:rsid w:val="00744A9B"/>
    <w:rsid w:val="00744E7A"/>
    <w:rsid w:val="00771362"/>
    <w:rsid w:val="007968ED"/>
    <w:rsid w:val="007C691C"/>
    <w:rsid w:val="007E4E66"/>
    <w:rsid w:val="008306E7"/>
    <w:rsid w:val="0083118F"/>
    <w:rsid w:val="00834BAF"/>
    <w:rsid w:val="0084421E"/>
    <w:rsid w:val="00851722"/>
    <w:rsid w:val="00861917"/>
    <w:rsid w:val="00867D36"/>
    <w:rsid w:val="008943A4"/>
    <w:rsid w:val="008A23F6"/>
    <w:rsid w:val="008D69FF"/>
    <w:rsid w:val="009336D1"/>
    <w:rsid w:val="009663BF"/>
    <w:rsid w:val="0099270D"/>
    <w:rsid w:val="009B15D5"/>
    <w:rsid w:val="00A95026"/>
    <w:rsid w:val="00AF06B5"/>
    <w:rsid w:val="00AF421C"/>
    <w:rsid w:val="00B059FB"/>
    <w:rsid w:val="00B25700"/>
    <w:rsid w:val="00B31A38"/>
    <w:rsid w:val="00B418AD"/>
    <w:rsid w:val="00B77DEB"/>
    <w:rsid w:val="00BD32F2"/>
    <w:rsid w:val="00C87855"/>
    <w:rsid w:val="00CA5DF7"/>
    <w:rsid w:val="00CF181C"/>
    <w:rsid w:val="00D44693"/>
    <w:rsid w:val="00D53969"/>
    <w:rsid w:val="00D74C8C"/>
    <w:rsid w:val="00DA3389"/>
    <w:rsid w:val="00DA7771"/>
    <w:rsid w:val="00E005DF"/>
    <w:rsid w:val="00E028CE"/>
    <w:rsid w:val="00E46BFC"/>
    <w:rsid w:val="00E62AC6"/>
    <w:rsid w:val="00E75BBD"/>
    <w:rsid w:val="00EA2B35"/>
    <w:rsid w:val="00EC17A6"/>
    <w:rsid w:val="00F15632"/>
    <w:rsid w:val="00F340FB"/>
    <w:rsid w:val="00F40AC1"/>
    <w:rsid w:val="00F51BA5"/>
    <w:rsid w:val="00F54EFB"/>
    <w:rsid w:val="00FA1282"/>
    <w:rsid w:val="00FB196A"/>
    <w:rsid w:val="00FD277F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50E9D"/>
  <w14:defaultImageDpi w14:val="300"/>
  <w15:docId w15:val="{A0CAA369-FEEF-4544-AEE1-1285B8BA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5DF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link w:val="termPara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17A3A"/>
    <w:rPr>
      <w:rFonts w:ascii="Arial" w:hAnsi="Arial"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F6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F6"/>
    <w:rPr>
      <w:rFonts w:ascii="Lucida Grande" w:hAnsi="Lucida Grande"/>
      <w:sz w:val="18"/>
      <w:szCs w:val="18"/>
    </w:rPr>
  </w:style>
  <w:style w:type="paragraph" w:customStyle="1" w:styleId="termPara">
    <w:name w:val="term Para"/>
    <w:basedOn w:val="Normal"/>
    <w:link w:val="term"/>
    <w:rsid w:val="00867D36"/>
    <w:rPr>
      <w:color w:val="008080"/>
      <w:u w:val="single"/>
    </w:rPr>
  </w:style>
  <w:style w:type="paragraph" w:styleId="ListParagraph">
    <w:name w:val="List Paragraph"/>
    <w:basedOn w:val="Normal"/>
    <w:uiPriority w:val="34"/>
    <w:qFormat/>
    <w:rsid w:val="0086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SBVR</vt:lpstr>
    </vt:vector>
  </TitlesOfParts>
  <Company>Unisys, etc.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Donald Chapin MSDN</cp:lastModifiedBy>
  <cp:revision>83</cp:revision>
  <cp:lastPrinted>2005-11-17T18:09:00Z</cp:lastPrinted>
  <dcterms:created xsi:type="dcterms:W3CDTF">2017-01-04T23:33:00Z</dcterms:created>
  <dcterms:modified xsi:type="dcterms:W3CDTF">2019-05-13T16:57:00Z</dcterms:modified>
  <cp:category/>
</cp:coreProperties>
</file>